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6CDD6A42"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E03F04">
        <w:rPr>
          <w:rFonts w:ascii="Times New Roman" w:eastAsia="Times New Roman" w:hAnsi="Times New Roman"/>
        </w:rPr>
        <w:t>Mathematics – Quotients of Fractions Ratio and Rate Reasoning – Unit 1 – Module B</w:t>
      </w:r>
    </w:p>
    <w:p w14:paraId="12AE012C" w14:textId="05425D7E"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E03F04">
        <w:rPr>
          <w:rFonts w:ascii="Times New Roman" w:hAnsi="Times New Roman" w:cs="Times New Roman"/>
          <w:b/>
          <w:sz w:val="28"/>
          <w:szCs w:val="28"/>
        </w:rPr>
        <w:t>6</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6BE102D0" w14:textId="77777777" w:rsidR="00884706" w:rsidRPr="00884706" w:rsidRDefault="00884706" w:rsidP="00884706"/>
    <w:p w14:paraId="0CAC5E7E" w14:textId="49C8C823" w:rsidR="00E03F04" w:rsidRDefault="00884706" w:rsidP="00AC4567">
      <w:pPr>
        <w:pStyle w:val="Standard"/>
        <w:widowControl w:val="0"/>
        <w:spacing w:after="0" w:line="240" w:lineRule="auto"/>
        <w:ind w:left="245" w:hanging="245"/>
      </w:pPr>
      <w:r w:rsidRPr="00417D39">
        <w:rPr>
          <w:rFonts w:eastAsia="Times New Roman"/>
          <w:bCs/>
          <w:noProof/>
          <w:color w:val="000000" w:themeColor="text1"/>
        </w:rPr>
        <mc:AlternateContent>
          <mc:Choice Requires="wps">
            <w:drawing>
              <wp:inline distT="0" distB="0" distL="0" distR="0" wp14:anchorId="4F7A8625" wp14:editId="2A792291">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AA4F36"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03F04">
        <w:rPr>
          <w:rFonts w:ascii="Times New Roman" w:eastAsia="Times New Roman" w:hAnsi="Times New Roman" w:cs="Times New Roman"/>
          <w:color w:val="000000"/>
          <w:sz w:val="24"/>
          <w:szCs w:val="24"/>
        </w:rPr>
        <w:t xml:space="preserve"> </w:t>
      </w:r>
      <w:r w:rsidR="00E03F04">
        <w:rPr>
          <w:rFonts w:ascii="Times New Roman" w:eastAsia="Times New Roman" w:hAnsi="Times New Roman" w:cs="Times New Roman"/>
          <w:b/>
          <w:color w:val="000000"/>
          <w:sz w:val="24"/>
          <w:szCs w:val="24"/>
        </w:rPr>
        <w:t>6.RP.A.1.</w:t>
      </w:r>
      <w:r w:rsidR="00E03F04">
        <w:rPr>
          <w:rFonts w:ascii="Times New Roman" w:eastAsia="Times New Roman" w:hAnsi="Times New Roman" w:cs="Times New Roman"/>
          <w:color w:val="000000"/>
          <w:sz w:val="24"/>
          <w:szCs w:val="24"/>
        </w:rPr>
        <w:t xml:space="preserve"> Understand the concept of a ratio and use ratio language to describe a ratio relationship between two quantities. </w:t>
      </w:r>
      <w:r w:rsidR="00E03F04">
        <w:rPr>
          <w:rFonts w:ascii="Times New Roman" w:eastAsia="Times New Roman" w:hAnsi="Times New Roman" w:cs="Times New Roman"/>
          <w:i/>
          <w:color w:val="000000"/>
          <w:sz w:val="24"/>
          <w:szCs w:val="24"/>
        </w:rPr>
        <w:t>For example, “The</w:t>
      </w:r>
      <w:r w:rsidR="00AC4567">
        <w:t xml:space="preserve"> </w:t>
      </w:r>
      <w:r w:rsidR="00E03F04">
        <w:rPr>
          <w:rFonts w:ascii="Times New Roman" w:eastAsia="Times New Roman" w:hAnsi="Times New Roman" w:cs="Times New Roman"/>
          <w:i/>
          <w:color w:val="000000"/>
          <w:sz w:val="24"/>
          <w:szCs w:val="24"/>
        </w:rPr>
        <w:t>ratio of wings to beaks in the bird house at the zoo was 2:1, because for every 2 wings there was 1 beak.” “For every vote candidate A received,</w:t>
      </w:r>
      <w:r w:rsidR="00AC4567">
        <w:t xml:space="preserve"> </w:t>
      </w:r>
      <w:r w:rsidR="00E03F04">
        <w:rPr>
          <w:rFonts w:ascii="Times New Roman" w:eastAsia="Times New Roman" w:hAnsi="Times New Roman" w:cs="Times New Roman"/>
          <w:i/>
          <w:sz w:val="24"/>
          <w:szCs w:val="24"/>
        </w:rPr>
        <w:t xml:space="preserve"> </w:t>
      </w:r>
      <w:r w:rsidR="00E03F04">
        <w:rPr>
          <w:rFonts w:ascii="Times New Roman" w:eastAsia="Times New Roman" w:hAnsi="Times New Roman" w:cs="Times New Roman"/>
          <w:i/>
          <w:color w:val="000000"/>
          <w:sz w:val="24"/>
          <w:szCs w:val="24"/>
        </w:rPr>
        <w:t>candidate C received nearly three votes.”</w:t>
      </w:r>
    </w:p>
    <w:p w14:paraId="70017ACD" w14:textId="7FB94029" w:rsidR="00E03F04" w:rsidRDefault="00884706" w:rsidP="00AC4567">
      <w:pPr>
        <w:pStyle w:val="Standard"/>
        <w:spacing w:after="0" w:line="240" w:lineRule="auto"/>
        <w:ind w:left="245" w:hanging="245"/>
      </w:pPr>
      <w:r w:rsidRPr="00417D39">
        <w:rPr>
          <w:rFonts w:eastAsia="Times New Roman"/>
          <w:bCs/>
          <w:noProof/>
          <w:color w:val="000000" w:themeColor="text1"/>
        </w:rPr>
        <mc:AlternateContent>
          <mc:Choice Requires="wps">
            <w:drawing>
              <wp:inline distT="0" distB="0" distL="0" distR="0" wp14:anchorId="3CF53A1A" wp14:editId="26C2C55F">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D65747"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E03F04">
        <w:rPr>
          <w:rFonts w:ascii="Times New Roman" w:eastAsia="Times New Roman" w:hAnsi="Times New Roman" w:cs="Times New Roman"/>
          <w:color w:val="000000"/>
          <w:sz w:val="24"/>
          <w:szCs w:val="24"/>
        </w:rPr>
        <w:t xml:space="preserve"> </w:t>
      </w:r>
      <w:r w:rsidR="00E03F04">
        <w:rPr>
          <w:rFonts w:ascii="Times New Roman" w:eastAsia="Times New Roman" w:hAnsi="Times New Roman" w:cs="Times New Roman"/>
          <w:b/>
          <w:color w:val="000000"/>
          <w:sz w:val="24"/>
          <w:szCs w:val="24"/>
        </w:rPr>
        <w:t>6.RP.A.2</w:t>
      </w:r>
      <w:r w:rsidR="00E03F04">
        <w:rPr>
          <w:rFonts w:ascii="Times New Roman" w:eastAsia="Times New Roman" w:hAnsi="Times New Roman" w:cs="Times New Roman"/>
          <w:color w:val="000000"/>
          <w:sz w:val="24"/>
          <w:szCs w:val="24"/>
        </w:rPr>
        <w:t xml:space="preserve"> Understand the concept of a unit rate a/b associated with a ratio </w:t>
      </w:r>
      <w:r w:rsidR="00E03F04" w:rsidRPr="00756F7D">
        <w:rPr>
          <w:rFonts w:ascii="Times New Roman" w:eastAsia="Times New Roman" w:hAnsi="Times New Roman" w:cs="Times New Roman"/>
          <w:i/>
          <w:color w:val="000000"/>
          <w:sz w:val="24"/>
          <w:szCs w:val="24"/>
        </w:rPr>
        <w:t>a</w:t>
      </w:r>
      <w:r w:rsidR="00E03F04">
        <w:rPr>
          <w:rFonts w:ascii="Times New Roman" w:eastAsia="Times New Roman" w:hAnsi="Times New Roman" w:cs="Times New Roman"/>
          <w:color w:val="000000"/>
          <w:sz w:val="24"/>
          <w:szCs w:val="24"/>
        </w:rPr>
        <w:t>:</w:t>
      </w:r>
      <w:r w:rsidR="00E03F04" w:rsidRPr="00756F7D">
        <w:rPr>
          <w:rFonts w:ascii="Times New Roman" w:eastAsia="Times New Roman" w:hAnsi="Times New Roman" w:cs="Times New Roman"/>
          <w:i/>
          <w:color w:val="000000"/>
          <w:sz w:val="24"/>
          <w:szCs w:val="24"/>
        </w:rPr>
        <w:t>b</w:t>
      </w:r>
      <w:r w:rsidR="00E03F04">
        <w:rPr>
          <w:rFonts w:ascii="Times New Roman" w:eastAsia="Times New Roman" w:hAnsi="Times New Roman" w:cs="Times New Roman"/>
          <w:color w:val="000000"/>
          <w:sz w:val="24"/>
          <w:szCs w:val="24"/>
        </w:rPr>
        <w:t xml:space="preserve"> with b </w:t>
      </w:r>
      <w:bookmarkStart w:id="0" w:name="_GoBack"/>
      <w:bookmarkEnd w:id="0"/>
      <w:r w:rsidR="00E03F04">
        <w:rPr>
          <w:rFonts w:ascii="Times New Roman" w:eastAsia="Times New Roman" w:hAnsi="Times New Roman" w:cs="Times New Roman"/>
          <w:color w:val="000000"/>
          <w:sz w:val="24"/>
          <w:szCs w:val="24"/>
        </w:rPr>
        <w:t xml:space="preserve">≠ </w:t>
      </w:r>
      <w:proofErr w:type="gramStart"/>
      <w:r w:rsidR="00E03F04">
        <w:rPr>
          <w:rFonts w:ascii="Times New Roman" w:eastAsia="Times New Roman" w:hAnsi="Times New Roman" w:cs="Times New Roman"/>
          <w:color w:val="000000"/>
          <w:sz w:val="24"/>
          <w:szCs w:val="24"/>
        </w:rPr>
        <w:t>0, and</w:t>
      </w:r>
      <w:proofErr w:type="gramEnd"/>
      <w:r w:rsidR="00E03F04">
        <w:rPr>
          <w:rFonts w:ascii="Times New Roman" w:eastAsia="Times New Roman" w:hAnsi="Times New Roman" w:cs="Times New Roman"/>
          <w:color w:val="000000"/>
          <w:sz w:val="24"/>
          <w:szCs w:val="24"/>
        </w:rPr>
        <w:t xml:space="preserve"> use rate language in the context of a ratio</w:t>
      </w:r>
      <w:r w:rsidR="00AC4567">
        <w:t xml:space="preserve"> </w:t>
      </w:r>
      <w:r w:rsidR="00E03F04">
        <w:rPr>
          <w:rFonts w:ascii="Times New Roman" w:eastAsia="Times New Roman" w:hAnsi="Times New Roman" w:cs="Times New Roman"/>
          <w:color w:val="000000"/>
          <w:sz w:val="24"/>
          <w:szCs w:val="24"/>
        </w:rPr>
        <w:t xml:space="preserve">relationship. </w:t>
      </w:r>
      <w:r w:rsidR="00E03F04">
        <w:rPr>
          <w:rFonts w:ascii="Times New Roman" w:eastAsia="Times New Roman" w:hAnsi="Times New Roman" w:cs="Times New Roman"/>
          <w:i/>
          <w:color w:val="000000"/>
          <w:sz w:val="24"/>
          <w:szCs w:val="24"/>
        </w:rPr>
        <w:t>For example, “This recipe has a ratio of 3 cups of flour to 4 cups of sugar, so there is 3/4 cup of flour for each cup of sugar.” “We</w:t>
      </w:r>
      <w:r w:rsidR="00AC4567">
        <w:t xml:space="preserve"> </w:t>
      </w:r>
      <w:r w:rsidR="00E03F04">
        <w:rPr>
          <w:rFonts w:ascii="Times New Roman" w:eastAsia="Times New Roman" w:hAnsi="Times New Roman" w:cs="Times New Roman"/>
          <w:i/>
          <w:color w:val="000000"/>
          <w:sz w:val="24"/>
          <w:szCs w:val="24"/>
        </w:rPr>
        <w:t>paid $75 for 15 hamburgers, which is a rate of $5 per hamburger.</w:t>
      </w:r>
    </w:p>
    <w:p w14:paraId="0348FAFB" w14:textId="12F8B4AB" w:rsidR="00E03F04" w:rsidRDefault="00884706" w:rsidP="00AC4567">
      <w:pPr>
        <w:pStyle w:val="Standard"/>
        <w:spacing w:after="0" w:line="240" w:lineRule="auto"/>
        <w:ind w:left="245" w:hanging="245"/>
      </w:pPr>
      <w:r w:rsidRPr="00417D39">
        <w:rPr>
          <w:rFonts w:eastAsia="Times New Roman"/>
          <w:bCs/>
          <w:noProof/>
          <w:color w:val="000000" w:themeColor="text1"/>
        </w:rPr>
        <mc:AlternateContent>
          <mc:Choice Requires="wps">
            <w:drawing>
              <wp:inline distT="0" distB="0" distL="0" distR="0" wp14:anchorId="2E08FF94" wp14:editId="2A4189CA">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9AB01A"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E03F04">
        <w:rPr>
          <w:rFonts w:ascii="Times New Roman" w:eastAsia="Times New Roman" w:hAnsi="Times New Roman" w:cs="Times New Roman"/>
          <w:color w:val="000000"/>
          <w:sz w:val="24"/>
          <w:szCs w:val="24"/>
        </w:rPr>
        <w:t xml:space="preserve"> </w:t>
      </w:r>
      <w:r w:rsidR="00E03F04">
        <w:rPr>
          <w:rFonts w:ascii="Times New Roman" w:eastAsia="Times New Roman" w:hAnsi="Times New Roman" w:cs="Times New Roman"/>
          <w:b/>
          <w:color w:val="000000"/>
          <w:sz w:val="24"/>
          <w:szCs w:val="24"/>
        </w:rPr>
        <w:t xml:space="preserve">6.RP.A.3 </w:t>
      </w:r>
      <w:r w:rsidR="00E03F04">
        <w:rPr>
          <w:rFonts w:ascii="Times New Roman" w:eastAsia="Times New Roman" w:hAnsi="Times New Roman" w:cs="Times New Roman"/>
          <w:color w:val="000000"/>
          <w:sz w:val="24"/>
          <w:szCs w:val="24"/>
        </w:rPr>
        <w:t>Use ratio and rate reasoning to solve real-world and mathematical problems, e.g., by reasoning about tables of equivalent ratios, tape</w:t>
      </w:r>
      <w:r w:rsidR="00AC4567">
        <w:t xml:space="preserve"> </w:t>
      </w:r>
      <w:r w:rsidR="00E03F04">
        <w:rPr>
          <w:rFonts w:ascii="Times New Roman" w:eastAsia="Times New Roman" w:hAnsi="Times New Roman" w:cs="Times New Roman"/>
          <w:color w:val="000000"/>
          <w:sz w:val="24"/>
          <w:szCs w:val="24"/>
        </w:rPr>
        <w:t>diagrams, double number line diagrams, or equations.</w:t>
      </w:r>
    </w:p>
    <w:p w14:paraId="21D125E2" w14:textId="77777777" w:rsidR="00E03F04" w:rsidRDefault="00E03F04" w:rsidP="00E03F04">
      <w:pPr>
        <w:pStyle w:val="Standard"/>
        <w:widowControl w:val="0"/>
        <w:spacing w:after="0" w:line="240" w:lineRule="auto"/>
        <w:ind w:left="821" w:hanging="245"/>
      </w:pPr>
      <w:r>
        <w:rPr>
          <w:rFonts w:ascii="Times New Roman" w:eastAsia="Times New Roman" w:hAnsi="Times New Roman" w:cs="Times New Roman"/>
          <w:color w:val="000000"/>
          <w:sz w:val="24"/>
          <w:szCs w:val="24"/>
        </w:rPr>
        <w:t>a. Make tables of equivalent ratios relating quantities with whole number measurements, find missing values in the tables, and plot the pairs of values on the coordinate plane. Use tables to compare ratios.</w:t>
      </w:r>
    </w:p>
    <w:p w14:paraId="6FA71981" w14:textId="77777777" w:rsidR="00E03F04" w:rsidRDefault="00E03F04" w:rsidP="00E03F04">
      <w:pPr>
        <w:pStyle w:val="Standard"/>
        <w:widowControl w:val="0"/>
        <w:spacing w:after="0" w:line="240" w:lineRule="auto"/>
        <w:ind w:left="821" w:hanging="245"/>
      </w:pPr>
      <w:r>
        <w:rPr>
          <w:rFonts w:ascii="Times New Roman" w:eastAsia="Times New Roman" w:hAnsi="Times New Roman" w:cs="Times New Roman"/>
          <w:color w:val="000000"/>
          <w:sz w:val="24"/>
          <w:szCs w:val="24"/>
        </w:rPr>
        <w:t xml:space="preserve">b. Solve unit rate problems including those involving unit pricing and constant speed. </w:t>
      </w:r>
      <w:r>
        <w:rPr>
          <w:rFonts w:ascii="Times New Roman" w:eastAsia="Times New Roman" w:hAnsi="Times New Roman" w:cs="Times New Roman"/>
          <w:i/>
          <w:color w:val="000000"/>
          <w:sz w:val="24"/>
          <w:szCs w:val="24"/>
        </w:rPr>
        <w:t>For example, if it took 7 hours to mow 4 lawns, then at that rate, how many lawns could be mowed in 35 hours? At what rate were lawns being mowed?</w:t>
      </w:r>
    </w:p>
    <w:p w14:paraId="788A68DD" w14:textId="77777777" w:rsidR="00E03F04" w:rsidRDefault="00E03F04" w:rsidP="00E03F04">
      <w:pPr>
        <w:pStyle w:val="Standard"/>
        <w:widowControl w:val="0"/>
        <w:spacing w:after="0" w:line="240" w:lineRule="auto"/>
        <w:ind w:left="821" w:hanging="245"/>
      </w:pPr>
      <w:r>
        <w:rPr>
          <w:rFonts w:ascii="Times New Roman" w:eastAsia="Times New Roman" w:hAnsi="Times New Roman" w:cs="Times New Roman"/>
          <w:color w:val="000000"/>
          <w:sz w:val="24"/>
          <w:szCs w:val="24"/>
        </w:rPr>
        <w:t>c. Find a percent of a quantity as a rate per 100 (e.g., 30% of a quantity means 30/100 times the quantity); solve problems involving finding the whole, given a part and the percent.</w:t>
      </w:r>
    </w:p>
    <w:p w14:paraId="70E5E1FD" w14:textId="77777777" w:rsidR="00E03F04" w:rsidRDefault="00E03F04" w:rsidP="00E03F04">
      <w:pPr>
        <w:pStyle w:val="Standard"/>
        <w:widowControl w:val="0"/>
        <w:spacing w:after="0" w:line="240" w:lineRule="auto"/>
        <w:ind w:left="821" w:hanging="245"/>
      </w:pPr>
      <w:r>
        <w:rPr>
          <w:rFonts w:ascii="Times New Roman" w:eastAsia="Times New Roman" w:hAnsi="Times New Roman" w:cs="Times New Roman"/>
          <w:color w:val="000000"/>
          <w:sz w:val="24"/>
          <w:szCs w:val="24"/>
        </w:rPr>
        <w:t>d. Use ratio reasoning to convert measurement units; manipulate and transform units appropriately when multiplying or dividing quantities.</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E03F04" w:rsidRPr="0056576B" w14:paraId="473F63F0" w14:textId="77777777" w:rsidTr="00751F34">
        <w:trPr>
          <w:trHeight w:val="1349"/>
        </w:trPr>
        <w:tc>
          <w:tcPr>
            <w:tcW w:w="2878" w:type="dxa"/>
          </w:tcPr>
          <w:p w14:paraId="7B8C7610" w14:textId="5EBF2BD3" w:rsidR="00E03F04" w:rsidRPr="00E03F04" w:rsidRDefault="00E03F04" w:rsidP="00E03F04">
            <w:pPr>
              <w:spacing w:after="240"/>
              <w:rPr>
                <w:rFonts w:ascii="Times New Roman" w:hAnsi="Times New Roman" w:cs="Times New Roman"/>
              </w:rPr>
            </w:pPr>
            <w:r>
              <w:rPr>
                <w:rFonts w:ascii="Times New Roman" w:eastAsia="Times New Roman" w:hAnsi="Times New Roman" w:cs="Times New Roman"/>
                <w:b/>
                <w:color w:val="000000"/>
                <w:sz w:val="24"/>
                <w:szCs w:val="24"/>
              </w:rPr>
              <w:t xml:space="preserve">6.RP.A.1 – WALT </w:t>
            </w:r>
            <w:r>
              <w:rPr>
                <w:rFonts w:ascii="Times New Roman" w:eastAsia="Times New Roman" w:hAnsi="Times New Roman" w:cs="Times New Roman"/>
                <w:color w:val="000000"/>
                <w:sz w:val="24"/>
                <w:szCs w:val="24"/>
              </w:rPr>
              <w:t>explain the concept of a ratio through definition.</w:t>
            </w:r>
          </w:p>
        </w:tc>
        <w:tc>
          <w:tcPr>
            <w:tcW w:w="2878" w:type="dxa"/>
          </w:tcPr>
          <w:p w14:paraId="569A3B3F" w14:textId="34B37ECD" w:rsidR="00E03F04" w:rsidRPr="0056576B" w:rsidRDefault="00E03F04" w:rsidP="00E03F04">
            <w:pPr>
              <w:spacing w:after="240"/>
              <w:rPr>
                <w:rFonts w:ascii="Times New Roman" w:hAnsi="Times New Roman" w:cs="Times New Roman"/>
                <w:i/>
              </w:rPr>
            </w:pPr>
          </w:p>
        </w:tc>
        <w:tc>
          <w:tcPr>
            <w:tcW w:w="2878" w:type="dxa"/>
          </w:tcPr>
          <w:p w14:paraId="75DFCE67" w14:textId="7463D371" w:rsidR="00E03F04" w:rsidRPr="0056576B" w:rsidRDefault="00E03F04" w:rsidP="00E03F04">
            <w:pPr>
              <w:spacing w:after="240"/>
              <w:rPr>
                <w:rFonts w:ascii="Times New Roman" w:hAnsi="Times New Roman" w:cs="Times New Roman"/>
                <w:i/>
              </w:rPr>
            </w:pPr>
          </w:p>
        </w:tc>
        <w:tc>
          <w:tcPr>
            <w:tcW w:w="2878" w:type="dxa"/>
          </w:tcPr>
          <w:p w14:paraId="25FE428D" w14:textId="3286B1E8" w:rsidR="00E03F04" w:rsidRPr="0056576B" w:rsidRDefault="00E03F04" w:rsidP="00E03F04">
            <w:pPr>
              <w:spacing w:after="240"/>
              <w:rPr>
                <w:rFonts w:ascii="Times New Roman" w:hAnsi="Times New Roman" w:cs="Times New Roman"/>
                <w:i/>
              </w:rPr>
            </w:pPr>
          </w:p>
        </w:tc>
        <w:tc>
          <w:tcPr>
            <w:tcW w:w="2703" w:type="dxa"/>
          </w:tcPr>
          <w:p w14:paraId="264BDBE3" w14:textId="7EFFB319" w:rsidR="00E03F04" w:rsidRPr="0056576B" w:rsidRDefault="00E03F04" w:rsidP="00E03F04">
            <w:pPr>
              <w:spacing w:after="240"/>
              <w:rPr>
                <w:rFonts w:ascii="Times New Roman" w:hAnsi="Times New Roman" w:cs="Times New Roman"/>
                <w:i/>
              </w:rPr>
            </w:pPr>
          </w:p>
        </w:tc>
      </w:tr>
      <w:tr w:rsidR="00E03F04" w:rsidRPr="0056576B" w14:paraId="437CDEA2" w14:textId="77777777" w:rsidTr="00751F34">
        <w:trPr>
          <w:trHeight w:val="1349"/>
        </w:trPr>
        <w:tc>
          <w:tcPr>
            <w:tcW w:w="2878" w:type="dxa"/>
          </w:tcPr>
          <w:p w14:paraId="05FF65C5" w14:textId="67012F04"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6.RP.A.1 – WALT </w:t>
            </w:r>
            <w:r>
              <w:rPr>
                <w:rFonts w:ascii="Times New Roman" w:eastAsia="Times New Roman" w:hAnsi="Times New Roman" w:cs="Times New Roman"/>
                <w:color w:val="000000"/>
                <w:sz w:val="24"/>
                <w:szCs w:val="24"/>
              </w:rPr>
              <w:t>use ratio language to describe a relationship between two quantities.</w:t>
            </w:r>
          </w:p>
        </w:tc>
        <w:tc>
          <w:tcPr>
            <w:tcW w:w="2878" w:type="dxa"/>
          </w:tcPr>
          <w:p w14:paraId="31EFE459" w14:textId="77777777" w:rsidR="00E03F04" w:rsidRPr="0056576B" w:rsidRDefault="00E03F04" w:rsidP="00E03F04">
            <w:pPr>
              <w:spacing w:after="240"/>
              <w:rPr>
                <w:rFonts w:ascii="Times New Roman" w:hAnsi="Times New Roman" w:cs="Times New Roman"/>
                <w:i/>
              </w:rPr>
            </w:pPr>
          </w:p>
        </w:tc>
        <w:tc>
          <w:tcPr>
            <w:tcW w:w="2878" w:type="dxa"/>
          </w:tcPr>
          <w:p w14:paraId="5B18037F" w14:textId="77777777" w:rsidR="00E03F04" w:rsidRPr="0056576B" w:rsidRDefault="00E03F04" w:rsidP="00E03F04">
            <w:pPr>
              <w:spacing w:after="240"/>
              <w:rPr>
                <w:rFonts w:ascii="Times New Roman" w:hAnsi="Times New Roman" w:cs="Times New Roman"/>
                <w:i/>
              </w:rPr>
            </w:pPr>
          </w:p>
        </w:tc>
        <w:tc>
          <w:tcPr>
            <w:tcW w:w="2878" w:type="dxa"/>
          </w:tcPr>
          <w:p w14:paraId="434AFED2" w14:textId="77777777" w:rsidR="00E03F04" w:rsidRPr="0056576B" w:rsidRDefault="00E03F04" w:rsidP="00E03F04">
            <w:pPr>
              <w:spacing w:after="240"/>
              <w:rPr>
                <w:rFonts w:ascii="Times New Roman" w:hAnsi="Times New Roman" w:cs="Times New Roman"/>
                <w:i/>
              </w:rPr>
            </w:pPr>
          </w:p>
        </w:tc>
        <w:tc>
          <w:tcPr>
            <w:tcW w:w="2703" w:type="dxa"/>
          </w:tcPr>
          <w:p w14:paraId="2F1E9668" w14:textId="77777777" w:rsidR="00E03F04" w:rsidRPr="0056576B" w:rsidRDefault="00E03F04" w:rsidP="00E03F04">
            <w:pPr>
              <w:spacing w:after="240"/>
              <w:rPr>
                <w:rFonts w:ascii="Times New Roman" w:hAnsi="Times New Roman" w:cs="Times New Roman"/>
                <w:i/>
              </w:rPr>
            </w:pPr>
          </w:p>
        </w:tc>
      </w:tr>
      <w:tr w:rsidR="00E03F04" w:rsidRPr="0056576B" w14:paraId="39947D2E" w14:textId="77777777" w:rsidTr="00751F34">
        <w:trPr>
          <w:trHeight w:val="1349"/>
        </w:trPr>
        <w:tc>
          <w:tcPr>
            <w:tcW w:w="2878" w:type="dxa"/>
          </w:tcPr>
          <w:p w14:paraId="437F2DC1" w14:textId="3375A5D7"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6.RP.A.2 – WALT </w:t>
            </w:r>
            <w:r>
              <w:rPr>
                <w:rFonts w:ascii="Times New Roman" w:eastAsia="Times New Roman" w:hAnsi="Times New Roman" w:cs="Times New Roman"/>
                <w:color w:val="000000"/>
                <w:sz w:val="24"/>
                <w:szCs w:val="24"/>
              </w:rPr>
              <w:t>construct a unit rate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from a given ratio (</w:t>
            </w:r>
            <w:proofErr w:type="spellStart"/>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proofErr w:type="spellEnd"/>
            <w:r>
              <w:rPr>
                <w:rFonts w:ascii="Times New Roman" w:eastAsia="Times New Roman" w:hAnsi="Times New Roman" w:cs="Times New Roman"/>
                <w:color w:val="000000"/>
                <w:sz w:val="24"/>
                <w:szCs w:val="24"/>
              </w:rPr>
              <w:t>)</w:t>
            </w:r>
          </w:p>
        </w:tc>
        <w:tc>
          <w:tcPr>
            <w:tcW w:w="2878" w:type="dxa"/>
          </w:tcPr>
          <w:p w14:paraId="010B0DB9" w14:textId="77777777" w:rsidR="00E03F04" w:rsidRPr="0056576B" w:rsidRDefault="00E03F04" w:rsidP="00E03F04">
            <w:pPr>
              <w:spacing w:after="240"/>
              <w:rPr>
                <w:rFonts w:ascii="Times New Roman" w:hAnsi="Times New Roman" w:cs="Times New Roman"/>
                <w:i/>
              </w:rPr>
            </w:pPr>
          </w:p>
        </w:tc>
        <w:tc>
          <w:tcPr>
            <w:tcW w:w="2878" w:type="dxa"/>
          </w:tcPr>
          <w:p w14:paraId="201A260F" w14:textId="77777777" w:rsidR="00E03F04" w:rsidRPr="0056576B" w:rsidRDefault="00E03F04" w:rsidP="00E03F04">
            <w:pPr>
              <w:spacing w:after="240"/>
              <w:rPr>
                <w:rFonts w:ascii="Times New Roman" w:hAnsi="Times New Roman" w:cs="Times New Roman"/>
                <w:i/>
              </w:rPr>
            </w:pPr>
          </w:p>
        </w:tc>
        <w:tc>
          <w:tcPr>
            <w:tcW w:w="2878" w:type="dxa"/>
          </w:tcPr>
          <w:p w14:paraId="2632DB9A" w14:textId="77777777" w:rsidR="00E03F04" w:rsidRPr="0056576B" w:rsidRDefault="00E03F04" w:rsidP="00E03F04">
            <w:pPr>
              <w:spacing w:after="240"/>
              <w:rPr>
                <w:rFonts w:ascii="Times New Roman" w:hAnsi="Times New Roman" w:cs="Times New Roman"/>
                <w:i/>
              </w:rPr>
            </w:pPr>
          </w:p>
        </w:tc>
        <w:tc>
          <w:tcPr>
            <w:tcW w:w="2703" w:type="dxa"/>
          </w:tcPr>
          <w:p w14:paraId="081F733C" w14:textId="77777777" w:rsidR="00E03F04" w:rsidRPr="0056576B" w:rsidRDefault="00E03F04" w:rsidP="00E03F04">
            <w:pPr>
              <w:spacing w:after="240"/>
              <w:rPr>
                <w:rFonts w:ascii="Times New Roman" w:hAnsi="Times New Roman" w:cs="Times New Roman"/>
                <w:i/>
              </w:rPr>
            </w:pPr>
          </w:p>
        </w:tc>
      </w:tr>
      <w:tr w:rsidR="00E03F04" w:rsidRPr="0056576B" w14:paraId="1A31AF47" w14:textId="77777777" w:rsidTr="00751F34">
        <w:trPr>
          <w:trHeight w:val="1349"/>
        </w:trPr>
        <w:tc>
          <w:tcPr>
            <w:tcW w:w="2878" w:type="dxa"/>
          </w:tcPr>
          <w:p w14:paraId="10932EA2" w14:textId="4367E679"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6.RP.A.2 – WALT </w:t>
            </w:r>
            <w:r>
              <w:rPr>
                <w:rFonts w:ascii="Times New Roman" w:eastAsia="Times New Roman" w:hAnsi="Times New Roman" w:cs="Times New Roman"/>
                <w:color w:val="000000"/>
                <w:sz w:val="24"/>
                <w:szCs w:val="24"/>
              </w:rPr>
              <w:t>explain a unit rate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associated with a ratio (</w:t>
            </w:r>
            <w:proofErr w:type="spellStart"/>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proofErr w:type="spellEnd"/>
            <w:r>
              <w:rPr>
                <w:rFonts w:ascii="Times New Roman" w:eastAsia="Times New Roman" w:hAnsi="Times New Roman" w:cs="Times New Roman"/>
                <w:color w:val="000000"/>
                <w:sz w:val="24"/>
                <w:szCs w:val="24"/>
              </w:rPr>
              <w:t>)</w:t>
            </w:r>
          </w:p>
        </w:tc>
        <w:tc>
          <w:tcPr>
            <w:tcW w:w="2878" w:type="dxa"/>
          </w:tcPr>
          <w:p w14:paraId="7970C1A2" w14:textId="77777777" w:rsidR="00E03F04" w:rsidRPr="0056576B" w:rsidRDefault="00E03F04" w:rsidP="00E03F04">
            <w:pPr>
              <w:spacing w:after="240"/>
              <w:rPr>
                <w:rFonts w:ascii="Times New Roman" w:hAnsi="Times New Roman" w:cs="Times New Roman"/>
                <w:i/>
              </w:rPr>
            </w:pPr>
          </w:p>
        </w:tc>
        <w:tc>
          <w:tcPr>
            <w:tcW w:w="2878" w:type="dxa"/>
          </w:tcPr>
          <w:p w14:paraId="75C15A4F" w14:textId="77777777" w:rsidR="00E03F04" w:rsidRPr="0056576B" w:rsidRDefault="00E03F04" w:rsidP="00E03F04">
            <w:pPr>
              <w:spacing w:after="240"/>
              <w:rPr>
                <w:rFonts w:ascii="Times New Roman" w:hAnsi="Times New Roman" w:cs="Times New Roman"/>
                <w:i/>
              </w:rPr>
            </w:pPr>
          </w:p>
        </w:tc>
        <w:tc>
          <w:tcPr>
            <w:tcW w:w="2878" w:type="dxa"/>
          </w:tcPr>
          <w:p w14:paraId="15B28FA6" w14:textId="77777777" w:rsidR="00E03F04" w:rsidRPr="0056576B" w:rsidRDefault="00E03F04" w:rsidP="00E03F04">
            <w:pPr>
              <w:spacing w:after="240"/>
              <w:rPr>
                <w:rFonts w:ascii="Times New Roman" w:hAnsi="Times New Roman" w:cs="Times New Roman"/>
                <w:i/>
              </w:rPr>
            </w:pPr>
          </w:p>
        </w:tc>
        <w:tc>
          <w:tcPr>
            <w:tcW w:w="2703" w:type="dxa"/>
          </w:tcPr>
          <w:p w14:paraId="7E3D8C06" w14:textId="77777777" w:rsidR="00E03F04" w:rsidRPr="0056576B" w:rsidRDefault="00E03F04" w:rsidP="00E03F04">
            <w:pPr>
              <w:spacing w:after="240"/>
              <w:rPr>
                <w:rFonts w:ascii="Times New Roman" w:hAnsi="Times New Roman" w:cs="Times New Roman"/>
                <w:i/>
              </w:rPr>
            </w:pPr>
          </w:p>
        </w:tc>
      </w:tr>
      <w:tr w:rsidR="00E03F04" w:rsidRPr="0056576B" w14:paraId="421D1D35" w14:textId="77777777" w:rsidTr="00751F34">
        <w:trPr>
          <w:trHeight w:val="1349"/>
        </w:trPr>
        <w:tc>
          <w:tcPr>
            <w:tcW w:w="2878" w:type="dxa"/>
          </w:tcPr>
          <w:p w14:paraId="2A75DCD6" w14:textId="040180BC"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6.RP.A.2 – WALT </w:t>
            </w:r>
            <w:r>
              <w:rPr>
                <w:rFonts w:ascii="Times New Roman" w:eastAsia="Times New Roman" w:hAnsi="Times New Roman" w:cs="Times New Roman"/>
                <w:color w:val="000000"/>
                <w:sz w:val="24"/>
                <w:szCs w:val="24"/>
              </w:rPr>
              <w:t>express a ratio relationship using rate language</w:t>
            </w:r>
          </w:p>
        </w:tc>
        <w:tc>
          <w:tcPr>
            <w:tcW w:w="2878" w:type="dxa"/>
          </w:tcPr>
          <w:p w14:paraId="06A5CCCC" w14:textId="77777777" w:rsidR="00E03F04" w:rsidRPr="0056576B" w:rsidRDefault="00E03F04" w:rsidP="00E03F04">
            <w:pPr>
              <w:spacing w:after="240"/>
              <w:rPr>
                <w:rFonts w:ascii="Times New Roman" w:hAnsi="Times New Roman" w:cs="Times New Roman"/>
                <w:i/>
              </w:rPr>
            </w:pPr>
          </w:p>
        </w:tc>
        <w:tc>
          <w:tcPr>
            <w:tcW w:w="2878" w:type="dxa"/>
          </w:tcPr>
          <w:p w14:paraId="21AE536D" w14:textId="77777777" w:rsidR="00E03F04" w:rsidRPr="0056576B" w:rsidRDefault="00E03F04" w:rsidP="00E03F04">
            <w:pPr>
              <w:spacing w:after="240"/>
              <w:rPr>
                <w:rFonts w:ascii="Times New Roman" w:hAnsi="Times New Roman" w:cs="Times New Roman"/>
                <w:i/>
              </w:rPr>
            </w:pPr>
          </w:p>
        </w:tc>
        <w:tc>
          <w:tcPr>
            <w:tcW w:w="2878" w:type="dxa"/>
          </w:tcPr>
          <w:p w14:paraId="37C3419C" w14:textId="77777777" w:rsidR="00E03F04" w:rsidRPr="0056576B" w:rsidRDefault="00E03F04" w:rsidP="00E03F04">
            <w:pPr>
              <w:spacing w:after="240"/>
              <w:rPr>
                <w:rFonts w:ascii="Times New Roman" w:hAnsi="Times New Roman" w:cs="Times New Roman"/>
                <w:i/>
              </w:rPr>
            </w:pPr>
          </w:p>
        </w:tc>
        <w:tc>
          <w:tcPr>
            <w:tcW w:w="2703" w:type="dxa"/>
          </w:tcPr>
          <w:p w14:paraId="58B8BC50" w14:textId="77777777" w:rsidR="00E03F04" w:rsidRPr="0056576B" w:rsidRDefault="00E03F04" w:rsidP="00E03F04">
            <w:pPr>
              <w:spacing w:after="240"/>
              <w:rPr>
                <w:rFonts w:ascii="Times New Roman" w:hAnsi="Times New Roman" w:cs="Times New Roman"/>
                <w:i/>
              </w:rPr>
            </w:pPr>
          </w:p>
        </w:tc>
      </w:tr>
      <w:tr w:rsidR="00E03F04" w:rsidRPr="0056576B" w14:paraId="7C2D7C45" w14:textId="77777777" w:rsidTr="00751F34">
        <w:trPr>
          <w:trHeight w:val="1349"/>
        </w:trPr>
        <w:tc>
          <w:tcPr>
            <w:tcW w:w="2878" w:type="dxa"/>
          </w:tcPr>
          <w:p w14:paraId="71F6536A" w14:textId="48B4586E"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6.RP.A.3 – WALT </w:t>
            </w:r>
            <w:r>
              <w:rPr>
                <w:rFonts w:ascii="Times New Roman" w:eastAsia="Times New Roman" w:hAnsi="Times New Roman" w:cs="Times New Roman"/>
                <w:color w:val="000000"/>
                <w:sz w:val="24"/>
                <w:szCs w:val="24"/>
              </w:rPr>
              <w:t>represent and solve rate and ratio real-world and mathematical problems by using tables, tape diagrams, double number line diagrams, and equations</w:t>
            </w:r>
          </w:p>
        </w:tc>
        <w:tc>
          <w:tcPr>
            <w:tcW w:w="2878" w:type="dxa"/>
          </w:tcPr>
          <w:p w14:paraId="11EB0F8F" w14:textId="77777777" w:rsidR="00E03F04" w:rsidRPr="0056576B" w:rsidRDefault="00E03F04" w:rsidP="00E03F04">
            <w:pPr>
              <w:spacing w:after="240"/>
              <w:rPr>
                <w:rFonts w:ascii="Times New Roman" w:hAnsi="Times New Roman" w:cs="Times New Roman"/>
                <w:i/>
              </w:rPr>
            </w:pPr>
          </w:p>
        </w:tc>
        <w:tc>
          <w:tcPr>
            <w:tcW w:w="2878" w:type="dxa"/>
          </w:tcPr>
          <w:p w14:paraId="01C092C8" w14:textId="77777777" w:rsidR="00E03F04" w:rsidRPr="0056576B" w:rsidRDefault="00E03F04" w:rsidP="00E03F04">
            <w:pPr>
              <w:spacing w:after="240"/>
              <w:rPr>
                <w:rFonts w:ascii="Times New Roman" w:hAnsi="Times New Roman" w:cs="Times New Roman"/>
                <w:i/>
              </w:rPr>
            </w:pPr>
          </w:p>
        </w:tc>
        <w:tc>
          <w:tcPr>
            <w:tcW w:w="2878" w:type="dxa"/>
          </w:tcPr>
          <w:p w14:paraId="53CBAE1D" w14:textId="77777777" w:rsidR="00E03F04" w:rsidRPr="0056576B" w:rsidRDefault="00E03F04" w:rsidP="00E03F04">
            <w:pPr>
              <w:spacing w:after="240"/>
              <w:rPr>
                <w:rFonts w:ascii="Times New Roman" w:hAnsi="Times New Roman" w:cs="Times New Roman"/>
                <w:i/>
              </w:rPr>
            </w:pPr>
          </w:p>
        </w:tc>
        <w:tc>
          <w:tcPr>
            <w:tcW w:w="2703" w:type="dxa"/>
          </w:tcPr>
          <w:p w14:paraId="47E375DD" w14:textId="77777777" w:rsidR="00E03F04" w:rsidRPr="0056576B" w:rsidRDefault="00E03F04" w:rsidP="00E03F04">
            <w:pPr>
              <w:spacing w:after="240"/>
              <w:rPr>
                <w:rFonts w:ascii="Times New Roman" w:hAnsi="Times New Roman" w:cs="Times New Roman"/>
                <w:i/>
              </w:rPr>
            </w:pPr>
          </w:p>
        </w:tc>
      </w:tr>
      <w:tr w:rsidR="00E03F04" w:rsidRPr="0056576B" w14:paraId="191FF665" w14:textId="77777777" w:rsidTr="00751F34">
        <w:trPr>
          <w:trHeight w:val="1349"/>
        </w:trPr>
        <w:tc>
          <w:tcPr>
            <w:tcW w:w="2878" w:type="dxa"/>
          </w:tcPr>
          <w:p w14:paraId="4F481CF3" w14:textId="49B14D46"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6.RP.A.3a. – WALT </w:t>
            </w:r>
            <w:r>
              <w:rPr>
                <w:rFonts w:ascii="Times New Roman" w:eastAsia="Times New Roman" w:hAnsi="Times New Roman" w:cs="Times New Roman"/>
                <w:color w:val="000000"/>
                <w:sz w:val="24"/>
                <w:szCs w:val="24"/>
              </w:rPr>
              <w:t>create tables of equivalent ratios and find missing values with whole number measurements</w:t>
            </w:r>
          </w:p>
        </w:tc>
        <w:tc>
          <w:tcPr>
            <w:tcW w:w="2878" w:type="dxa"/>
          </w:tcPr>
          <w:p w14:paraId="1C8B8373" w14:textId="77777777" w:rsidR="00E03F04" w:rsidRPr="0056576B" w:rsidRDefault="00E03F04" w:rsidP="00E03F04">
            <w:pPr>
              <w:spacing w:after="240"/>
              <w:rPr>
                <w:rFonts w:ascii="Times New Roman" w:hAnsi="Times New Roman" w:cs="Times New Roman"/>
                <w:i/>
              </w:rPr>
            </w:pPr>
          </w:p>
        </w:tc>
        <w:tc>
          <w:tcPr>
            <w:tcW w:w="2878" w:type="dxa"/>
          </w:tcPr>
          <w:p w14:paraId="2F3E9F35" w14:textId="77777777" w:rsidR="00E03F04" w:rsidRPr="0056576B" w:rsidRDefault="00E03F04" w:rsidP="00E03F04">
            <w:pPr>
              <w:spacing w:after="240"/>
              <w:rPr>
                <w:rFonts w:ascii="Times New Roman" w:hAnsi="Times New Roman" w:cs="Times New Roman"/>
                <w:i/>
              </w:rPr>
            </w:pPr>
          </w:p>
        </w:tc>
        <w:tc>
          <w:tcPr>
            <w:tcW w:w="2878" w:type="dxa"/>
          </w:tcPr>
          <w:p w14:paraId="106E7239" w14:textId="77777777" w:rsidR="00E03F04" w:rsidRPr="0056576B" w:rsidRDefault="00E03F04" w:rsidP="00E03F04">
            <w:pPr>
              <w:spacing w:after="240"/>
              <w:rPr>
                <w:rFonts w:ascii="Times New Roman" w:hAnsi="Times New Roman" w:cs="Times New Roman"/>
                <w:i/>
              </w:rPr>
            </w:pPr>
          </w:p>
        </w:tc>
        <w:tc>
          <w:tcPr>
            <w:tcW w:w="2703" w:type="dxa"/>
          </w:tcPr>
          <w:p w14:paraId="7820B07F" w14:textId="77777777" w:rsidR="00E03F04" w:rsidRPr="0056576B" w:rsidRDefault="00E03F04" w:rsidP="00E03F04">
            <w:pPr>
              <w:spacing w:after="240"/>
              <w:rPr>
                <w:rFonts w:ascii="Times New Roman" w:hAnsi="Times New Roman" w:cs="Times New Roman"/>
                <w:i/>
              </w:rPr>
            </w:pPr>
          </w:p>
        </w:tc>
      </w:tr>
      <w:tr w:rsidR="00E03F04" w:rsidRPr="0056576B" w14:paraId="297D2186" w14:textId="77777777" w:rsidTr="00751F34">
        <w:trPr>
          <w:trHeight w:val="1349"/>
        </w:trPr>
        <w:tc>
          <w:tcPr>
            <w:tcW w:w="2878" w:type="dxa"/>
          </w:tcPr>
          <w:p w14:paraId="7A3C36B6" w14:textId="31EE640D"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6.RP.A.3a. – WALT </w:t>
            </w:r>
            <w:r>
              <w:rPr>
                <w:rFonts w:ascii="Times New Roman" w:eastAsia="Times New Roman" w:hAnsi="Times New Roman" w:cs="Times New Roman"/>
                <w:color w:val="000000"/>
                <w:sz w:val="24"/>
                <w:szCs w:val="24"/>
              </w:rPr>
              <w:t>plot pairs of values, in the coordinate plane, from a ratio table to compare ratios</w:t>
            </w:r>
          </w:p>
        </w:tc>
        <w:tc>
          <w:tcPr>
            <w:tcW w:w="2878" w:type="dxa"/>
          </w:tcPr>
          <w:p w14:paraId="730BE2E5" w14:textId="77777777" w:rsidR="00E03F04" w:rsidRPr="0056576B" w:rsidRDefault="00E03F04" w:rsidP="00E03F04">
            <w:pPr>
              <w:spacing w:after="240"/>
              <w:rPr>
                <w:rFonts w:ascii="Times New Roman" w:hAnsi="Times New Roman" w:cs="Times New Roman"/>
                <w:i/>
              </w:rPr>
            </w:pPr>
          </w:p>
        </w:tc>
        <w:tc>
          <w:tcPr>
            <w:tcW w:w="2878" w:type="dxa"/>
          </w:tcPr>
          <w:p w14:paraId="2A0C51EB" w14:textId="77777777" w:rsidR="00E03F04" w:rsidRPr="0056576B" w:rsidRDefault="00E03F04" w:rsidP="00E03F04">
            <w:pPr>
              <w:spacing w:after="240"/>
              <w:rPr>
                <w:rFonts w:ascii="Times New Roman" w:hAnsi="Times New Roman" w:cs="Times New Roman"/>
                <w:i/>
              </w:rPr>
            </w:pPr>
          </w:p>
        </w:tc>
        <w:tc>
          <w:tcPr>
            <w:tcW w:w="2878" w:type="dxa"/>
          </w:tcPr>
          <w:p w14:paraId="35AF7F69" w14:textId="77777777" w:rsidR="00E03F04" w:rsidRPr="0056576B" w:rsidRDefault="00E03F04" w:rsidP="00E03F04">
            <w:pPr>
              <w:spacing w:after="240"/>
              <w:rPr>
                <w:rFonts w:ascii="Times New Roman" w:hAnsi="Times New Roman" w:cs="Times New Roman"/>
                <w:i/>
              </w:rPr>
            </w:pPr>
          </w:p>
        </w:tc>
        <w:tc>
          <w:tcPr>
            <w:tcW w:w="2703" w:type="dxa"/>
          </w:tcPr>
          <w:p w14:paraId="28B7AD39" w14:textId="77777777" w:rsidR="00E03F04" w:rsidRPr="0056576B" w:rsidRDefault="00E03F04" w:rsidP="00E03F04">
            <w:pPr>
              <w:spacing w:after="240"/>
              <w:rPr>
                <w:rFonts w:ascii="Times New Roman" w:hAnsi="Times New Roman" w:cs="Times New Roman"/>
                <w:i/>
              </w:rPr>
            </w:pPr>
          </w:p>
        </w:tc>
      </w:tr>
      <w:tr w:rsidR="00E03F04" w:rsidRPr="0056576B" w14:paraId="58734307" w14:textId="77777777" w:rsidTr="00751F34">
        <w:trPr>
          <w:trHeight w:val="1349"/>
        </w:trPr>
        <w:tc>
          <w:tcPr>
            <w:tcW w:w="2878" w:type="dxa"/>
          </w:tcPr>
          <w:p w14:paraId="58DC54B8" w14:textId="21811699"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6.RP.A.3b. – WALT </w:t>
            </w:r>
            <w:r>
              <w:rPr>
                <w:rFonts w:ascii="Times New Roman" w:eastAsia="Times New Roman" w:hAnsi="Times New Roman" w:cs="Times New Roman"/>
                <w:color w:val="000000"/>
                <w:sz w:val="24"/>
                <w:szCs w:val="24"/>
              </w:rPr>
              <w:t>solve unit rate problems, including unit pricing and constant speed</w:t>
            </w:r>
          </w:p>
        </w:tc>
        <w:tc>
          <w:tcPr>
            <w:tcW w:w="2878" w:type="dxa"/>
          </w:tcPr>
          <w:p w14:paraId="17AAF5DB" w14:textId="77777777" w:rsidR="00E03F04" w:rsidRPr="0056576B" w:rsidRDefault="00E03F04" w:rsidP="00E03F04">
            <w:pPr>
              <w:spacing w:after="240"/>
              <w:rPr>
                <w:rFonts w:ascii="Times New Roman" w:hAnsi="Times New Roman" w:cs="Times New Roman"/>
                <w:i/>
              </w:rPr>
            </w:pPr>
          </w:p>
        </w:tc>
        <w:tc>
          <w:tcPr>
            <w:tcW w:w="2878" w:type="dxa"/>
          </w:tcPr>
          <w:p w14:paraId="14A69253" w14:textId="77777777" w:rsidR="00E03F04" w:rsidRPr="0056576B" w:rsidRDefault="00E03F04" w:rsidP="00E03F04">
            <w:pPr>
              <w:spacing w:after="240"/>
              <w:rPr>
                <w:rFonts w:ascii="Times New Roman" w:hAnsi="Times New Roman" w:cs="Times New Roman"/>
                <w:i/>
              </w:rPr>
            </w:pPr>
          </w:p>
        </w:tc>
        <w:tc>
          <w:tcPr>
            <w:tcW w:w="2878" w:type="dxa"/>
          </w:tcPr>
          <w:p w14:paraId="554843BB" w14:textId="77777777" w:rsidR="00E03F04" w:rsidRPr="0056576B" w:rsidRDefault="00E03F04" w:rsidP="00E03F04">
            <w:pPr>
              <w:spacing w:after="240"/>
              <w:rPr>
                <w:rFonts w:ascii="Times New Roman" w:hAnsi="Times New Roman" w:cs="Times New Roman"/>
                <w:i/>
              </w:rPr>
            </w:pPr>
          </w:p>
        </w:tc>
        <w:tc>
          <w:tcPr>
            <w:tcW w:w="2703" w:type="dxa"/>
          </w:tcPr>
          <w:p w14:paraId="505B4502" w14:textId="77777777" w:rsidR="00E03F04" w:rsidRPr="0056576B" w:rsidRDefault="00E03F04" w:rsidP="00E03F04">
            <w:pPr>
              <w:spacing w:after="240"/>
              <w:rPr>
                <w:rFonts w:ascii="Times New Roman" w:hAnsi="Times New Roman" w:cs="Times New Roman"/>
                <w:i/>
              </w:rPr>
            </w:pPr>
          </w:p>
        </w:tc>
      </w:tr>
      <w:tr w:rsidR="00E03F04" w:rsidRPr="0056576B" w14:paraId="65F51D1C" w14:textId="77777777" w:rsidTr="00751F34">
        <w:trPr>
          <w:trHeight w:val="1349"/>
        </w:trPr>
        <w:tc>
          <w:tcPr>
            <w:tcW w:w="2878" w:type="dxa"/>
          </w:tcPr>
          <w:p w14:paraId="58DF538F" w14:textId="704CB72F" w:rsidR="00E03F04" w:rsidRPr="0056576B" w:rsidRDefault="00E03F04" w:rsidP="00E03F04">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6.RP.A.3c. – WALT </w:t>
            </w:r>
            <w:r>
              <w:rPr>
                <w:rFonts w:ascii="Times New Roman" w:eastAsia="Times New Roman" w:hAnsi="Times New Roman" w:cs="Times New Roman"/>
                <w:color w:val="000000"/>
                <w:sz w:val="24"/>
                <w:szCs w:val="24"/>
              </w:rPr>
              <w:t>find the part, whole, and percent of a quantity in real-world problems</w:t>
            </w:r>
          </w:p>
        </w:tc>
        <w:tc>
          <w:tcPr>
            <w:tcW w:w="2878" w:type="dxa"/>
          </w:tcPr>
          <w:p w14:paraId="0A9583FF" w14:textId="77777777" w:rsidR="00E03F04" w:rsidRPr="0056576B" w:rsidRDefault="00E03F04" w:rsidP="00E03F04">
            <w:pPr>
              <w:spacing w:after="240"/>
              <w:rPr>
                <w:rFonts w:ascii="Times New Roman" w:hAnsi="Times New Roman" w:cs="Times New Roman"/>
                <w:i/>
              </w:rPr>
            </w:pPr>
          </w:p>
        </w:tc>
        <w:tc>
          <w:tcPr>
            <w:tcW w:w="2878" w:type="dxa"/>
          </w:tcPr>
          <w:p w14:paraId="24F58875" w14:textId="77777777" w:rsidR="00E03F04" w:rsidRPr="0056576B" w:rsidRDefault="00E03F04" w:rsidP="00E03F04">
            <w:pPr>
              <w:spacing w:after="240"/>
              <w:rPr>
                <w:rFonts w:ascii="Times New Roman" w:hAnsi="Times New Roman" w:cs="Times New Roman"/>
                <w:i/>
              </w:rPr>
            </w:pPr>
          </w:p>
        </w:tc>
        <w:tc>
          <w:tcPr>
            <w:tcW w:w="2878" w:type="dxa"/>
          </w:tcPr>
          <w:p w14:paraId="7A80BA88" w14:textId="77777777" w:rsidR="00E03F04" w:rsidRPr="0056576B" w:rsidRDefault="00E03F04" w:rsidP="00E03F04">
            <w:pPr>
              <w:spacing w:after="240"/>
              <w:rPr>
                <w:rFonts w:ascii="Times New Roman" w:hAnsi="Times New Roman" w:cs="Times New Roman"/>
                <w:i/>
              </w:rPr>
            </w:pPr>
          </w:p>
        </w:tc>
        <w:tc>
          <w:tcPr>
            <w:tcW w:w="2703" w:type="dxa"/>
          </w:tcPr>
          <w:p w14:paraId="3780DEEE" w14:textId="77777777" w:rsidR="00E03F04" w:rsidRPr="0056576B" w:rsidRDefault="00E03F04" w:rsidP="00E03F04">
            <w:pPr>
              <w:spacing w:after="240"/>
              <w:rPr>
                <w:rFonts w:ascii="Times New Roman" w:hAnsi="Times New Roman" w:cs="Times New Roman"/>
                <w:i/>
              </w:rPr>
            </w:pPr>
          </w:p>
        </w:tc>
      </w:tr>
      <w:tr w:rsidR="00E03F04" w:rsidRPr="0056576B" w14:paraId="0189C5AF" w14:textId="77777777" w:rsidTr="00751F34">
        <w:trPr>
          <w:trHeight w:val="1349"/>
        </w:trPr>
        <w:tc>
          <w:tcPr>
            <w:tcW w:w="2878" w:type="dxa"/>
          </w:tcPr>
          <w:p w14:paraId="4B6F7272" w14:textId="1D7177E9" w:rsidR="00E03F04" w:rsidRDefault="00E03F04" w:rsidP="00E03F04">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6.RP.A.3d. – WALT </w:t>
            </w:r>
            <w:r>
              <w:rPr>
                <w:rFonts w:ascii="Times New Roman" w:eastAsia="Times New Roman" w:hAnsi="Times New Roman" w:cs="Times New Roman"/>
                <w:color w:val="000000"/>
                <w:sz w:val="24"/>
                <w:szCs w:val="24"/>
              </w:rPr>
              <w:t>unit ratios can be used to manipulate and transform units accurately</w:t>
            </w:r>
          </w:p>
        </w:tc>
        <w:tc>
          <w:tcPr>
            <w:tcW w:w="2878" w:type="dxa"/>
          </w:tcPr>
          <w:p w14:paraId="0D865BE1" w14:textId="77777777" w:rsidR="00E03F04" w:rsidRPr="0056576B" w:rsidRDefault="00E03F04" w:rsidP="00E03F04">
            <w:pPr>
              <w:spacing w:after="240"/>
              <w:rPr>
                <w:rFonts w:ascii="Times New Roman" w:hAnsi="Times New Roman" w:cs="Times New Roman"/>
                <w:i/>
              </w:rPr>
            </w:pPr>
          </w:p>
        </w:tc>
        <w:tc>
          <w:tcPr>
            <w:tcW w:w="2878" w:type="dxa"/>
          </w:tcPr>
          <w:p w14:paraId="767F7FC1" w14:textId="77777777" w:rsidR="00E03F04" w:rsidRPr="0056576B" w:rsidRDefault="00E03F04" w:rsidP="00E03F04">
            <w:pPr>
              <w:spacing w:after="240"/>
              <w:rPr>
                <w:rFonts w:ascii="Times New Roman" w:hAnsi="Times New Roman" w:cs="Times New Roman"/>
                <w:i/>
              </w:rPr>
            </w:pPr>
          </w:p>
        </w:tc>
        <w:tc>
          <w:tcPr>
            <w:tcW w:w="2878" w:type="dxa"/>
          </w:tcPr>
          <w:p w14:paraId="14551816" w14:textId="77777777" w:rsidR="00E03F04" w:rsidRPr="0056576B" w:rsidRDefault="00E03F04" w:rsidP="00E03F04">
            <w:pPr>
              <w:spacing w:after="240"/>
              <w:rPr>
                <w:rFonts w:ascii="Times New Roman" w:hAnsi="Times New Roman" w:cs="Times New Roman"/>
                <w:i/>
              </w:rPr>
            </w:pPr>
          </w:p>
        </w:tc>
        <w:tc>
          <w:tcPr>
            <w:tcW w:w="2703" w:type="dxa"/>
          </w:tcPr>
          <w:p w14:paraId="1F89B8F8" w14:textId="77777777" w:rsidR="00E03F04" w:rsidRPr="0056576B" w:rsidRDefault="00E03F04" w:rsidP="00E03F04">
            <w:pPr>
              <w:spacing w:after="240"/>
              <w:rPr>
                <w:rFonts w:ascii="Times New Roman" w:hAnsi="Times New Roman" w:cs="Times New Roman"/>
                <w:i/>
              </w:rPr>
            </w:pPr>
          </w:p>
        </w:tc>
      </w:tr>
      <w:tr w:rsidR="00E03F04" w:rsidRPr="0056576B" w14:paraId="0AEFB33B" w14:textId="77777777" w:rsidTr="00751F34">
        <w:trPr>
          <w:trHeight w:val="1349"/>
        </w:trPr>
        <w:tc>
          <w:tcPr>
            <w:tcW w:w="2878" w:type="dxa"/>
          </w:tcPr>
          <w:p w14:paraId="70BC490B" w14:textId="28BB98BB" w:rsidR="00E03F04" w:rsidRDefault="00E03F04" w:rsidP="00E03F04">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6.RP.A.3d. – WALT </w:t>
            </w:r>
            <w:r>
              <w:rPr>
                <w:rFonts w:ascii="Times New Roman" w:eastAsia="Times New Roman" w:hAnsi="Times New Roman" w:cs="Times New Roman"/>
                <w:color w:val="000000"/>
                <w:sz w:val="24"/>
                <w:szCs w:val="24"/>
              </w:rPr>
              <w:t>convert measurement units utilizing ratio reasoning</w:t>
            </w:r>
          </w:p>
        </w:tc>
        <w:tc>
          <w:tcPr>
            <w:tcW w:w="2878" w:type="dxa"/>
          </w:tcPr>
          <w:p w14:paraId="024B19D2" w14:textId="77777777" w:rsidR="00E03F04" w:rsidRPr="0056576B" w:rsidRDefault="00E03F04" w:rsidP="00E03F04">
            <w:pPr>
              <w:spacing w:after="240"/>
              <w:rPr>
                <w:rFonts w:ascii="Times New Roman" w:hAnsi="Times New Roman" w:cs="Times New Roman"/>
                <w:i/>
              </w:rPr>
            </w:pPr>
          </w:p>
        </w:tc>
        <w:tc>
          <w:tcPr>
            <w:tcW w:w="2878" w:type="dxa"/>
          </w:tcPr>
          <w:p w14:paraId="162A3348" w14:textId="77777777" w:rsidR="00E03F04" w:rsidRPr="0056576B" w:rsidRDefault="00E03F04" w:rsidP="00E03F04">
            <w:pPr>
              <w:spacing w:after="240"/>
              <w:rPr>
                <w:rFonts w:ascii="Times New Roman" w:hAnsi="Times New Roman" w:cs="Times New Roman"/>
                <w:i/>
              </w:rPr>
            </w:pPr>
          </w:p>
        </w:tc>
        <w:tc>
          <w:tcPr>
            <w:tcW w:w="2878" w:type="dxa"/>
          </w:tcPr>
          <w:p w14:paraId="6BFE0827" w14:textId="77777777" w:rsidR="00E03F04" w:rsidRPr="0056576B" w:rsidRDefault="00E03F04" w:rsidP="00E03F04">
            <w:pPr>
              <w:spacing w:after="240"/>
              <w:rPr>
                <w:rFonts w:ascii="Times New Roman" w:hAnsi="Times New Roman" w:cs="Times New Roman"/>
                <w:i/>
              </w:rPr>
            </w:pPr>
          </w:p>
        </w:tc>
        <w:tc>
          <w:tcPr>
            <w:tcW w:w="2703" w:type="dxa"/>
          </w:tcPr>
          <w:p w14:paraId="0B8BBD74" w14:textId="77777777" w:rsidR="00E03F04" w:rsidRPr="0056576B" w:rsidRDefault="00E03F04" w:rsidP="00E03F04">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21FC" w14:textId="77777777" w:rsidR="00FB03F1" w:rsidRDefault="00FB03F1" w:rsidP="002E2912">
      <w:pPr>
        <w:spacing w:after="0" w:line="240" w:lineRule="auto"/>
      </w:pPr>
      <w:r>
        <w:separator/>
      </w:r>
    </w:p>
  </w:endnote>
  <w:endnote w:type="continuationSeparator" w:id="0">
    <w:p w14:paraId="4DDBF2BA" w14:textId="77777777" w:rsidR="00FB03F1" w:rsidRDefault="00FB03F1"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7B4F41D0" w:rsidR="003F6042" w:rsidRDefault="00E03F04" w:rsidP="003F6042">
    <w:pPr>
      <w:pStyle w:val="Footer"/>
    </w:pPr>
    <w:r>
      <w:rPr>
        <w:color w:val="000000"/>
      </w:rPr>
      <w:t xml:space="preserve">CAR_Mathematics-Gr.6-Unit 1-Module B </w:t>
    </w:r>
    <w:r w:rsidR="003F6042">
      <w:ptab w:relativeTo="margin" w:alignment="center" w:leader="none"/>
    </w:r>
    <w:r w:rsidR="003F6042">
      <w:ptab w:relativeTo="margin" w:alignment="right" w:leader="none"/>
    </w:r>
    <w:r w:rsidR="003F6042">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9FB0B" w14:textId="77777777" w:rsidR="00FB03F1" w:rsidRDefault="00FB03F1" w:rsidP="002E2912">
      <w:pPr>
        <w:spacing w:after="0" w:line="240" w:lineRule="auto"/>
      </w:pPr>
      <w:r>
        <w:separator/>
      </w:r>
    </w:p>
  </w:footnote>
  <w:footnote w:type="continuationSeparator" w:id="0">
    <w:p w14:paraId="31A2BD39" w14:textId="77777777" w:rsidR="00FB03F1" w:rsidRDefault="00FB03F1"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A3CEA"/>
    <w:rsid w:val="000F6055"/>
    <w:rsid w:val="001040F5"/>
    <w:rsid w:val="001271BB"/>
    <w:rsid w:val="00153BCD"/>
    <w:rsid w:val="00166F4B"/>
    <w:rsid w:val="00196776"/>
    <w:rsid w:val="00217079"/>
    <w:rsid w:val="002A5673"/>
    <w:rsid w:val="002E2912"/>
    <w:rsid w:val="00360592"/>
    <w:rsid w:val="00363A81"/>
    <w:rsid w:val="003973BF"/>
    <w:rsid w:val="003B521D"/>
    <w:rsid w:val="003E5759"/>
    <w:rsid w:val="003F6042"/>
    <w:rsid w:val="004405D2"/>
    <w:rsid w:val="004A3C78"/>
    <w:rsid w:val="005043E4"/>
    <w:rsid w:val="005102BC"/>
    <w:rsid w:val="00523316"/>
    <w:rsid w:val="0056576B"/>
    <w:rsid w:val="00597E7A"/>
    <w:rsid w:val="005F3DD1"/>
    <w:rsid w:val="0060757B"/>
    <w:rsid w:val="00640ADB"/>
    <w:rsid w:val="00680847"/>
    <w:rsid w:val="00680862"/>
    <w:rsid w:val="00686315"/>
    <w:rsid w:val="006D6D6F"/>
    <w:rsid w:val="00707D79"/>
    <w:rsid w:val="00751F34"/>
    <w:rsid w:val="00753EDB"/>
    <w:rsid w:val="00756604"/>
    <w:rsid w:val="00756F7D"/>
    <w:rsid w:val="00775297"/>
    <w:rsid w:val="007A3CBD"/>
    <w:rsid w:val="007A50CE"/>
    <w:rsid w:val="00800A4D"/>
    <w:rsid w:val="00825CE4"/>
    <w:rsid w:val="00831318"/>
    <w:rsid w:val="00832D26"/>
    <w:rsid w:val="00882FED"/>
    <w:rsid w:val="00884706"/>
    <w:rsid w:val="008E2274"/>
    <w:rsid w:val="009161D1"/>
    <w:rsid w:val="00971E84"/>
    <w:rsid w:val="009720AD"/>
    <w:rsid w:val="00991F28"/>
    <w:rsid w:val="00993C56"/>
    <w:rsid w:val="009A15ED"/>
    <w:rsid w:val="00A04935"/>
    <w:rsid w:val="00A244D6"/>
    <w:rsid w:val="00A36DDC"/>
    <w:rsid w:val="00A36E5D"/>
    <w:rsid w:val="00A47D00"/>
    <w:rsid w:val="00AC4567"/>
    <w:rsid w:val="00AE60F0"/>
    <w:rsid w:val="00AE7BAB"/>
    <w:rsid w:val="00B013A0"/>
    <w:rsid w:val="00B10EA3"/>
    <w:rsid w:val="00B86739"/>
    <w:rsid w:val="00D2140D"/>
    <w:rsid w:val="00D42ED9"/>
    <w:rsid w:val="00D61E4D"/>
    <w:rsid w:val="00E03F04"/>
    <w:rsid w:val="00E47D15"/>
    <w:rsid w:val="00E71955"/>
    <w:rsid w:val="00F155CA"/>
    <w:rsid w:val="00F47A27"/>
    <w:rsid w:val="00F5249B"/>
    <w:rsid w:val="00F55A36"/>
    <w:rsid w:val="00F749C6"/>
    <w:rsid w:val="00F8157B"/>
    <w:rsid w:val="00FB03F1"/>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E03F04"/>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2019-08-15T14:31:00Z</dcterms:created>
  <dcterms:modified xsi:type="dcterms:W3CDTF">2019-08-19T16:27:00Z</dcterms:modified>
</cp:coreProperties>
</file>